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1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428"/>
        <w:gridCol w:w="4693"/>
        <w:gridCol w:w="1855"/>
      </w:tblGrid>
      <w:tr w:rsidR="00E35B6F" w:rsidRPr="00C61A7C" w14:paraId="56B8C772" w14:textId="77777777" w:rsidTr="00875E28">
        <w:trPr>
          <w:trHeight w:val="851"/>
        </w:trPr>
        <w:tc>
          <w:tcPr>
            <w:tcW w:w="107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3C05D6" w14:textId="77777777" w:rsidR="00E35B6F" w:rsidRPr="00C61A7C" w:rsidRDefault="00396D59" w:rsidP="00DF5878">
            <w:pPr>
              <w:spacing w:after="120" w:line="240" w:lineRule="auto"/>
              <w:jc w:val="center"/>
              <w:rPr>
                <w:rFonts w:cs="Calibri"/>
                <w:b/>
                <w:bCs/>
                <w:sz w:val="56"/>
                <w:szCs w:val="24"/>
                <w:lang w:val="fr-FR"/>
              </w:rPr>
            </w:pPr>
            <w:r w:rsidRPr="00C61A7C">
              <w:rPr>
                <w:rFonts w:cs="Calibri"/>
                <w:b/>
                <w:bCs/>
                <w:sz w:val="56"/>
                <w:szCs w:val="24"/>
                <w:lang w:val="fr-FR"/>
              </w:rPr>
              <w:t>Temps nécessaire dans la communauté</w:t>
            </w:r>
          </w:p>
        </w:tc>
      </w:tr>
      <w:tr w:rsidR="00875E28" w:rsidRPr="00C61A7C" w14:paraId="5511DC61" w14:textId="77777777" w:rsidTr="00DA114E">
        <w:trPr>
          <w:trHeight w:val="228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3F0D" w14:textId="77777777" w:rsidR="00E35B6F" w:rsidRPr="00C61A7C" w:rsidRDefault="00E35B6F" w:rsidP="00247AFF">
            <w:pPr>
              <w:spacing w:after="0" w:line="240" w:lineRule="auto"/>
              <w:rPr>
                <w:rFonts w:cs="Calibri"/>
                <w:szCs w:val="24"/>
                <w:lang w:val="fr-FR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9902" w14:textId="77777777" w:rsidR="00E35B6F" w:rsidRPr="00C61A7C" w:rsidRDefault="00396D59" w:rsidP="00247AFF">
            <w:pPr>
              <w:spacing w:after="0"/>
              <w:jc w:val="center"/>
              <w:rPr>
                <w:rFonts w:cs="Calibri"/>
                <w:b/>
                <w:sz w:val="32"/>
                <w:lang w:val="fr-FR"/>
              </w:rPr>
            </w:pPr>
            <w:r w:rsidRPr="00C61A7C">
              <w:rPr>
                <w:rFonts w:cs="Calibri"/>
                <w:b/>
                <w:sz w:val="32"/>
                <w:lang w:val="fr-FR"/>
              </w:rPr>
              <w:t>Activité/Exercice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25BFEA" w14:textId="77777777" w:rsidR="00E35B6F" w:rsidRPr="00C61A7C" w:rsidRDefault="00396D59" w:rsidP="00247AFF">
            <w:pPr>
              <w:spacing w:after="0"/>
              <w:jc w:val="center"/>
              <w:rPr>
                <w:rFonts w:cs="Calibri"/>
                <w:b/>
                <w:sz w:val="32"/>
                <w:lang w:val="fr-FR"/>
              </w:rPr>
            </w:pPr>
            <w:r w:rsidRPr="00C61A7C">
              <w:rPr>
                <w:rFonts w:cs="Calibri"/>
                <w:b/>
                <w:sz w:val="32"/>
                <w:lang w:val="fr-FR"/>
              </w:rPr>
              <w:t>Durée (h) dans la communauté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033D8" w14:textId="77777777" w:rsidR="00E35B6F" w:rsidRPr="00C61A7C" w:rsidRDefault="00396D59" w:rsidP="00247AFF">
            <w:pPr>
              <w:spacing w:after="0"/>
              <w:jc w:val="center"/>
              <w:rPr>
                <w:rFonts w:cs="Calibri"/>
                <w:b/>
                <w:sz w:val="32"/>
                <w:lang w:val="fr-FR"/>
              </w:rPr>
            </w:pPr>
            <w:r w:rsidRPr="00C61A7C">
              <w:rPr>
                <w:rFonts w:cs="Calibri"/>
                <w:b/>
                <w:sz w:val="32"/>
                <w:lang w:val="fr-FR"/>
              </w:rPr>
              <w:t>Jour</w:t>
            </w:r>
          </w:p>
        </w:tc>
      </w:tr>
      <w:tr w:rsidR="00875E28" w:rsidRPr="00C61A7C" w14:paraId="78F77CD6" w14:textId="77777777" w:rsidTr="0015461C">
        <w:trPr>
          <w:trHeight w:val="614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5932" w14:textId="77777777" w:rsidR="00E35B6F" w:rsidRPr="00C61A7C" w:rsidRDefault="00E35B6F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sz w:val="32"/>
                <w:szCs w:val="28"/>
                <w:lang w:val="fr-FR"/>
              </w:rPr>
              <w:t>1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927B" w14:textId="77777777" w:rsidR="00E35B6F" w:rsidRPr="00C61A7C" w:rsidRDefault="0015461C" w:rsidP="00247AFF">
            <w:pPr>
              <w:spacing w:after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Analyse du contexte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23ED1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3 – 4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0B25D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bCs/>
                <w:sz w:val="32"/>
                <w:szCs w:val="28"/>
                <w:lang w:val="fr-FR"/>
              </w:rPr>
              <w:t>1</w:t>
            </w:r>
          </w:p>
        </w:tc>
      </w:tr>
      <w:tr w:rsidR="00E35B6F" w:rsidRPr="00C61A7C" w14:paraId="1689F5D4" w14:textId="77777777" w:rsidTr="0015461C">
        <w:trPr>
          <w:trHeight w:val="851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22E4" w14:textId="77777777" w:rsidR="00E35B6F" w:rsidRPr="00C61A7C" w:rsidRDefault="00E35B6F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sz w:val="32"/>
                <w:szCs w:val="28"/>
                <w:lang w:val="fr-FR"/>
              </w:rPr>
              <w:t>2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5620" w14:textId="77777777" w:rsidR="00E35B6F" w:rsidRPr="00C61A7C" w:rsidRDefault="00396D59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 xml:space="preserve">Introduction </w:t>
            </w:r>
            <w:r w:rsidR="00DF5878">
              <w:rPr>
                <w:sz w:val="28"/>
                <w:lang w:val="fr-FR"/>
              </w:rPr>
              <w:t xml:space="preserve">au processus de l'EPRACC 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4E689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1 – 2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6CF899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bCs/>
                <w:sz w:val="32"/>
                <w:szCs w:val="28"/>
                <w:lang w:val="fr-FR"/>
              </w:rPr>
              <w:t>2</w:t>
            </w:r>
          </w:p>
        </w:tc>
      </w:tr>
      <w:tr w:rsidR="00462F39" w:rsidRPr="00C61A7C" w14:paraId="51EE20E2" w14:textId="77777777" w:rsidTr="0015461C">
        <w:trPr>
          <w:trHeight w:val="851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7D3D" w14:textId="77777777" w:rsidR="00462F39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61FA" w14:textId="77777777" w:rsidR="00462F39" w:rsidRPr="00C61A7C" w:rsidRDefault="00462F39" w:rsidP="00247AFF">
            <w:pPr>
              <w:spacing w:after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Introduction aux Changements climatiques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0A557" w14:textId="77777777" w:rsidR="00462F39" w:rsidRPr="00C61A7C" w:rsidRDefault="00716FBA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>
              <w:rPr>
                <w:sz w:val="32"/>
                <w:szCs w:val="28"/>
                <w:lang w:val="fr-FR"/>
              </w:rPr>
              <w:t>1</w:t>
            </w:r>
          </w:p>
        </w:tc>
        <w:tc>
          <w:tcPr>
            <w:tcW w:w="1855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23B547" w14:textId="77777777" w:rsidR="00462F39" w:rsidRPr="00C61A7C" w:rsidRDefault="00462F39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E35B6F" w:rsidRPr="00C61A7C" w14:paraId="130D1627" w14:textId="77777777" w:rsidTr="00DA114E">
        <w:trPr>
          <w:trHeight w:val="851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71DE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28F0" w14:textId="77777777" w:rsidR="00E35B6F" w:rsidRPr="00C61A7C" w:rsidRDefault="00E35B6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1:</w:t>
            </w:r>
            <w:proofErr w:type="gramEnd"/>
            <w:r w:rsidRPr="00C61A7C">
              <w:rPr>
                <w:sz w:val="28"/>
                <w:lang w:val="fr-FR"/>
              </w:rPr>
              <w:t xml:space="preserve"> </w:t>
            </w:r>
            <w:r w:rsidR="00396D59" w:rsidRPr="00C61A7C">
              <w:rPr>
                <w:sz w:val="28"/>
                <w:lang w:val="fr-FR"/>
              </w:rPr>
              <w:t>Carte de</w:t>
            </w:r>
            <w:r w:rsidR="00DF5878">
              <w:rPr>
                <w:sz w:val="28"/>
                <w:lang w:val="fr-FR"/>
              </w:rPr>
              <w:t xml:space="preserve"> ressources et d'</w:t>
            </w:r>
            <w:r w:rsidR="00396D59" w:rsidRPr="00C61A7C">
              <w:rPr>
                <w:sz w:val="28"/>
                <w:lang w:val="fr-FR"/>
              </w:rPr>
              <w:t>aléas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8707B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 – 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FEABC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E35B6F" w:rsidRPr="00C61A7C" w14:paraId="5FE310E9" w14:textId="77777777" w:rsidTr="00C33322">
        <w:trPr>
          <w:trHeight w:val="638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033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20E9" w14:textId="77777777" w:rsidR="00E35B6F" w:rsidRPr="00C61A7C" w:rsidRDefault="00E35B6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2:</w:t>
            </w:r>
            <w:proofErr w:type="gramEnd"/>
            <w:r w:rsidRPr="00C61A7C">
              <w:rPr>
                <w:sz w:val="28"/>
                <w:lang w:val="fr-FR"/>
              </w:rPr>
              <w:t xml:space="preserve"> </w:t>
            </w:r>
            <w:r w:rsidR="00396D59" w:rsidRPr="00C61A7C">
              <w:rPr>
                <w:sz w:val="28"/>
                <w:lang w:val="fr-FR"/>
              </w:rPr>
              <w:t>Calendrier saisonnier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15234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 – 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B5A47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89348F" w:rsidRPr="00C61A7C" w14:paraId="08049E16" w14:textId="77777777" w:rsidTr="00C33322">
        <w:trPr>
          <w:trHeight w:val="670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A08D" w14:textId="77777777" w:rsidR="0089348F" w:rsidRDefault="0089348F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6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F5E5" w14:textId="77777777" w:rsidR="0089348F" w:rsidRPr="00C61A7C" w:rsidRDefault="0089348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3:</w:t>
            </w:r>
            <w:proofErr w:type="gramEnd"/>
            <w:r w:rsidRPr="00C61A7C">
              <w:rPr>
                <w:sz w:val="28"/>
                <w:lang w:val="fr-FR"/>
              </w:rPr>
              <w:t xml:space="preserve"> </w:t>
            </w:r>
            <w:r>
              <w:rPr>
                <w:sz w:val="28"/>
                <w:lang w:val="fr-FR"/>
              </w:rPr>
              <w:t>Priorisation</w:t>
            </w:r>
            <w:r w:rsidRPr="00C61A7C">
              <w:rPr>
                <w:sz w:val="28"/>
                <w:lang w:val="fr-FR"/>
              </w:rPr>
              <w:t xml:space="preserve"> des </w:t>
            </w:r>
            <w:r>
              <w:rPr>
                <w:sz w:val="28"/>
                <w:lang w:val="fr-FR"/>
              </w:rPr>
              <w:t>aléas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146A1" w14:textId="77777777" w:rsidR="0089348F" w:rsidRPr="00C61A7C" w:rsidRDefault="0089348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>
              <w:rPr>
                <w:sz w:val="32"/>
                <w:szCs w:val="28"/>
                <w:lang w:val="fr-FR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9F72D2" w14:textId="77777777" w:rsidR="0089348F" w:rsidRPr="00C61A7C" w:rsidRDefault="0089348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bCs/>
                <w:sz w:val="32"/>
                <w:szCs w:val="28"/>
                <w:lang w:val="fr-FR"/>
              </w:rPr>
              <w:t>3</w:t>
            </w:r>
          </w:p>
        </w:tc>
      </w:tr>
      <w:tr w:rsidR="0089348F" w:rsidRPr="00C61A7C" w14:paraId="1B258E13" w14:textId="77777777" w:rsidTr="00C33322">
        <w:trPr>
          <w:trHeight w:val="714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385" w14:textId="77777777" w:rsidR="0089348F" w:rsidRPr="00C61A7C" w:rsidRDefault="0089348F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C1A0" w14:textId="77777777" w:rsidR="0089348F" w:rsidRPr="00C61A7C" w:rsidRDefault="0089348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4:</w:t>
            </w:r>
            <w:proofErr w:type="gramEnd"/>
            <w:r w:rsidRPr="00C61A7C">
              <w:rPr>
                <w:sz w:val="28"/>
                <w:lang w:val="fr-FR"/>
              </w:rPr>
              <w:t xml:space="preserve"> Matrice de vulnérabilité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80EF0" w14:textId="77777777" w:rsidR="0089348F" w:rsidRPr="00C61A7C" w:rsidRDefault="0089348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 – 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91D1AC" w14:textId="77777777" w:rsidR="0089348F" w:rsidRPr="00C61A7C" w:rsidRDefault="0089348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89348F" w:rsidRPr="00C61A7C" w14:paraId="08515BEA" w14:textId="77777777" w:rsidTr="00DF5878">
        <w:trPr>
          <w:trHeight w:val="851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989" w14:textId="77777777" w:rsidR="0089348F" w:rsidRPr="00C61A7C" w:rsidRDefault="0089348F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CF3" w14:textId="77777777" w:rsidR="0089348F" w:rsidRPr="00C61A7C" w:rsidRDefault="0089348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5:</w:t>
            </w:r>
            <w:proofErr w:type="gramEnd"/>
            <w:r w:rsidRPr="00C61A7C">
              <w:rPr>
                <w:sz w:val="28"/>
                <w:lang w:val="fr-FR"/>
              </w:rPr>
              <w:t xml:space="preserve"> Réponses </w:t>
            </w:r>
            <w:r>
              <w:rPr>
                <w:sz w:val="28"/>
                <w:lang w:val="fr-FR"/>
              </w:rPr>
              <w:t xml:space="preserve">communautaires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5F840" w14:textId="77777777" w:rsidR="0089348F" w:rsidRPr="00C61A7C" w:rsidRDefault="0089348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 – 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17E26" w14:textId="77777777" w:rsidR="0089348F" w:rsidRPr="00C61A7C" w:rsidRDefault="0089348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E35B6F" w:rsidRPr="00C61A7C" w14:paraId="6A7984F0" w14:textId="77777777" w:rsidTr="00C33322">
        <w:trPr>
          <w:trHeight w:val="660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6E6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9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2373" w14:textId="77777777" w:rsidR="00E35B6F" w:rsidRPr="00C61A7C" w:rsidRDefault="00396D59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 xml:space="preserve">Résumé </w:t>
            </w:r>
            <w:r w:rsidR="00462F39">
              <w:rPr>
                <w:sz w:val="28"/>
                <w:lang w:val="fr-FR"/>
              </w:rPr>
              <w:t>et</w:t>
            </w:r>
            <w:r w:rsidRPr="00C61A7C">
              <w:rPr>
                <w:sz w:val="28"/>
                <w:lang w:val="fr-FR"/>
              </w:rPr>
              <w:t xml:space="preserve"> </w:t>
            </w:r>
            <w:r w:rsidR="00462F39">
              <w:rPr>
                <w:sz w:val="28"/>
                <w:lang w:val="fr-FR"/>
              </w:rPr>
              <w:t>C</w:t>
            </w:r>
            <w:r w:rsidRPr="00C61A7C">
              <w:rPr>
                <w:sz w:val="28"/>
                <w:lang w:val="fr-FR"/>
              </w:rPr>
              <w:t>onclusions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2A79A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1 – 2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C49AF5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bCs/>
                <w:sz w:val="32"/>
                <w:szCs w:val="28"/>
                <w:lang w:val="fr-FR"/>
              </w:rPr>
              <w:t>4</w:t>
            </w:r>
          </w:p>
        </w:tc>
      </w:tr>
      <w:tr w:rsidR="00E35B6F" w:rsidRPr="00C61A7C" w14:paraId="5DF0085A" w14:textId="77777777" w:rsidTr="00DF5878">
        <w:trPr>
          <w:trHeight w:val="851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E685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10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5569" w14:textId="77777777" w:rsidR="00E35B6F" w:rsidRPr="00C61A7C" w:rsidRDefault="00417C64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Introduction</w:t>
            </w:r>
            <w:r w:rsidR="00396D59" w:rsidRPr="00C61A7C">
              <w:rPr>
                <w:sz w:val="28"/>
                <w:lang w:val="fr-FR"/>
              </w:rPr>
              <w:t xml:space="preserve"> </w:t>
            </w:r>
            <w:r w:rsidR="00462F39">
              <w:rPr>
                <w:sz w:val="28"/>
                <w:lang w:val="fr-FR"/>
              </w:rPr>
              <w:t xml:space="preserve">aux </w:t>
            </w:r>
            <w:r w:rsidR="00462F39" w:rsidRPr="00C61A7C">
              <w:rPr>
                <w:sz w:val="28"/>
                <w:lang w:val="fr-FR"/>
              </w:rPr>
              <w:t>scénarios</w:t>
            </w:r>
            <w:r w:rsidR="00462F39">
              <w:rPr>
                <w:sz w:val="28"/>
                <w:lang w:val="fr-FR"/>
              </w:rPr>
              <w:t xml:space="preserve"> des </w:t>
            </w:r>
            <w:r w:rsidR="00DA114E">
              <w:rPr>
                <w:sz w:val="28"/>
                <w:lang w:val="fr-FR"/>
              </w:rPr>
              <w:t>C</w:t>
            </w:r>
            <w:r w:rsidR="00396D59" w:rsidRPr="00C61A7C">
              <w:rPr>
                <w:sz w:val="28"/>
                <w:lang w:val="fr-FR"/>
              </w:rPr>
              <w:t>hangement</w:t>
            </w:r>
            <w:r w:rsidR="00462F39">
              <w:rPr>
                <w:sz w:val="28"/>
                <w:lang w:val="fr-FR"/>
              </w:rPr>
              <w:t>s</w:t>
            </w:r>
            <w:r w:rsidR="00396D59" w:rsidRPr="00C61A7C">
              <w:rPr>
                <w:sz w:val="28"/>
                <w:lang w:val="fr-FR"/>
              </w:rPr>
              <w:t xml:space="preserve"> climatique</w:t>
            </w:r>
            <w:r w:rsidR="00462F39">
              <w:rPr>
                <w:sz w:val="28"/>
                <w:lang w:val="fr-FR"/>
              </w:rPr>
              <w:t>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4F7F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1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C49760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E35B6F" w:rsidRPr="00C61A7C" w14:paraId="418AB99A" w14:textId="77777777" w:rsidTr="00C33322">
        <w:trPr>
          <w:trHeight w:val="792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53AA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7AF9" w14:textId="77777777" w:rsidR="00E35B6F" w:rsidRPr="00C61A7C" w:rsidRDefault="00E35B6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6:</w:t>
            </w:r>
            <w:proofErr w:type="gramEnd"/>
            <w:r w:rsidRPr="00C61A7C">
              <w:rPr>
                <w:sz w:val="28"/>
                <w:lang w:val="fr-FR"/>
              </w:rPr>
              <w:t xml:space="preserve"> </w:t>
            </w:r>
            <w:r w:rsidR="00396D59" w:rsidRPr="00C61A7C">
              <w:rPr>
                <w:sz w:val="28"/>
                <w:lang w:val="fr-FR"/>
              </w:rPr>
              <w:t>Objectifs d'adaptation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1D709C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5D575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E35B6F" w:rsidRPr="00C61A7C" w14:paraId="4F9BEBEF" w14:textId="77777777" w:rsidTr="00C33322">
        <w:trPr>
          <w:trHeight w:val="811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2975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12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1F2F" w14:textId="77777777" w:rsidR="00E35B6F" w:rsidRPr="00C61A7C" w:rsidRDefault="00E35B6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7:</w:t>
            </w:r>
            <w:proofErr w:type="gramEnd"/>
            <w:r w:rsidRPr="00C61A7C">
              <w:rPr>
                <w:sz w:val="28"/>
                <w:lang w:val="fr-FR"/>
              </w:rPr>
              <w:t xml:space="preserve"> </w:t>
            </w:r>
            <w:r w:rsidR="00396D59" w:rsidRPr="00C61A7C">
              <w:rPr>
                <w:sz w:val="28"/>
                <w:lang w:val="fr-FR"/>
              </w:rPr>
              <w:t>Stratégies d'adaptation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711F5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 – 3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88EA93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bCs/>
                <w:sz w:val="32"/>
                <w:szCs w:val="28"/>
                <w:lang w:val="fr-FR"/>
              </w:rPr>
              <w:t>5</w:t>
            </w:r>
          </w:p>
        </w:tc>
      </w:tr>
      <w:tr w:rsidR="00E35B6F" w:rsidRPr="00C61A7C" w14:paraId="12AA05EC" w14:textId="77777777" w:rsidTr="00C33322">
        <w:trPr>
          <w:trHeight w:val="702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0445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99BE" w14:textId="77777777" w:rsidR="00E35B6F" w:rsidRPr="00C61A7C" w:rsidRDefault="00E35B6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8:</w:t>
            </w:r>
            <w:proofErr w:type="gramEnd"/>
            <w:r w:rsidRPr="00C61A7C">
              <w:rPr>
                <w:sz w:val="28"/>
                <w:lang w:val="fr-FR"/>
              </w:rPr>
              <w:t xml:space="preserve"> </w:t>
            </w:r>
            <w:r w:rsidR="00396D59" w:rsidRPr="00C61A7C">
              <w:rPr>
                <w:sz w:val="28"/>
                <w:lang w:val="fr-FR"/>
              </w:rPr>
              <w:t>Co-bénéfices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5DD39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F4AD53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E35B6F" w:rsidRPr="00C61A7C" w14:paraId="22377A75" w14:textId="77777777" w:rsidTr="00C33322">
        <w:trPr>
          <w:trHeight w:val="697"/>
        </w:trPr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E20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EBB" w14:textId="77777777" w:rsidR="00E35B6F" w:rsidRPr="00C61A7C" w:rsidRDefault="00E35B6F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>E</w:t>
            </w:r>
            <w:proofErr w:type="gramStart"/>
            <w:r w:rsidRPr="00C61A7C">
              <w:rPr>
                <w:sz w:val="28"/>
                <w:lang w:val="fr-FR"/>
              </w:rPr>
              <w:t>9:</w:t>
            </w:r>
            <w:proofErr w:type="gramEnd"/>
            <w:r w:rsidRPr="00C61A7C">
              <w:rPr>
                <w:sz w:val="28"/>
                <w:lang w:val="fr-FR"/>
              </w:rPr>
              <w:t xml:space="preserve"> </w:t>
            </w:r>
            <w:r w:rsidR="00396D59" w:rsidRPr="00C61A7C">
              <w:rPr>
                <w:sz w:val="28"/>
                <w:lang w:val="fr-FR"/>
              </w:rPr>
              <w:t>Plan d'action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6CBE3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 – 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A6E4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</w:p>
        </w:tc>
      </w:tr>
      <w:tr w:rsidR="00E35B6F" w:rsidRPr="00C61A7C" w14:paraId="7FE1875E" w14:textId="77777777" w:rsidTr="00DF5878">
        <w:trPr>
          <w:trHeight w:val="851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9745" w14:textId="77777777" w:rsidR="00E35B6F" w:rsidRPr="00C61A7C" w:rsidRDefault="00462F39" w:rsidP="0015461C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>
              <w:rPr>
                <w:rFonts w:cs="Calibri"/>
                <w:sz w:val="32"/>
                <w:szCs w:val="28"/>
                <w:lang w:val="fr-FR"/>
              </w:rPr>
              <w:t>15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17D2" w14:textId="77777777" w:rsidR="00E35B6F" w:rsidRPr="00C61A7C" w:rsidRDefault="00396D59" w:rsidP="00247AFF">
            <w:pPr>
              <w:spacing w:after="0"/>
              <w:rPr>
                <w:sz w:val="28"/>
                <w:lang w:val="fr-FR"/>
              </w:rPr>
            </w:pPr>
            <w:r w:rsidRPr="00C61A7C">
              <w:rPr>
                <w:sz w:val="28"/>
                <w:lang w:val="fr-FR"/>
              </w:rPr>
              <w:t xml:space="preserve">Présentation </w:t>
            </w:r>
            <w:r w:rsidR="00C33322">
              <w:rPr>
                <w:sz w:val="28"/>
                <w:lang w:val="fr-FR"/>
              </w:rPr>
              <w:t>à</w:t>
            </w:r>
            <w:r w:rsidRPr="00C61A7C">
              <w:rPr>
                <w:sz w:val="28"/>
                <w:lang w:val="fr-FR"/>
              </w:rPr>
              <w:t xml:space="preserve"> la communauté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FA065" w14:textId="77777777" w:rsidR="00E35B6F" w:rsidRPr="00C61A7C" w:rsidRDefault="00E35B6F" w:rsidP="00247AFF">
            <w:pPr>
              <w:spacing w:after="0"/>
              <w:jc w:val="center"/>
              <w:rPr>
                <w:sz w:val="32"/>
                <w:szCs w:val="28"/>
                <w:lang w:val="fr-FR"/>
              </w:rPr>
            </w:pPr>
            <w:r w:rsidRPr="00C61A7C">
              <w:rPr>
                <w:sz w:val="32"/>
                <w:szCs w:val="28"/>
                <w:lang w:val="fr-FR"/>
              </w:rPr>
              <w:t>2 - 3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8F2A5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bCs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bCs/>
                <w:sz w:val="32"/>
                <w:szCs w:val="28"/>
                <w:lang w:val="fr-FR"/>
              </w:rPr>
              <w:t>6</w:t>
            </w:r>
          </w:p>
        </w:tc>
      </w:tr>
      <w:tr w:rsidR="00E35B6F" w:rsidRPr="00C61A7C" w14:paraId="59265B97" w14:textId="77777777" w:rsidTr="00C33322">
        <w:trPr>
          <w:trHeight w:val="658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22C7" w14:textId="77777777" w:rsidR="00E35B6F" w:rsidRPr="00C61A7C" w:rsidRDefault="00E35B6F" w:rsidP="00247AFF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</w:p>
        </w:tc>
        <w:tc>
          <w:tcPr>
            <w:tcW w:w="3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910" w14:textId="77777777" w:rsidR="00E35B6F" w:rsidRPr="00C61A7C" w:rsidRDefault="00E35B6F" w:rsidP="00247AFF">
            <w:pPr>
              <w:spacing w:after="0" w:line="240" w:lineRule="auto"/>
              <w:rPr>
                <w:rFonts w:cs="Calibri"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sz w:val="32"/>
                <w:szCs w:val="28"/>
                <w:lang w:val="fr-FR"/>
              </w:rPr>
              <w:t>Total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ECA34" w14:textId="77777777" w:rsidR="00E35B6F" w:rsidRPr="00C61A7C" w:rsidRDefault="00E35B6F" w:rsidP="00247AFF">
            <w:pPr>
              <w:spacing w:after="0" w:line="240" w:lineRule="auto"/>
              <w:jc w:val="center"/>
              <w:rPr>
                <w:rFonts w:cs="Calibri"/>
                <w:sz w:val="32"/>
                <w:szCs w:val="28"/>
                <w:lang w:val="fr-FR"/>
              </w:rPr>
            </w:pPr>
            <w:r w:rsidRPr="00C61A7C">
              <w:rPr>
                <w:rFonts w:cs="Calibri"/>
                <w:sz w:val="32"/>
                <w:szCs w:val="28"/>
                <w:lang w:val="fr-FR"/>
              </w:rPr>
              <w:t>2</w:t>
            </w:r>
            <w:r w:rsidR="00C33322">
              <w:rPr>
                <w:rFonts w:cs="Calibri"/>
                <w:sz w:val="32"/>
                <w:szCs w:val="28"/>
                <w:lang w:val="fr-FR"/>
              </w:rPr>
              <w:t>3</w:t>
            </w:r>
            <w:r w:rsidRPr="00C61A7C">
              <w:rPr>
                <w:rFonts w:cs="Calibri"/>
                <w:sz w:val="32"/>
                <w:szCs w:val="28"/>
                <w:lang w:val="fr-FR"/>
              </w:rPr>
              <w:t xml:space="preserve"> -3</w:t>
            </w:r>
            <w:r w:rsidR="00C33322">
              <w:rPr>
                <w:rFonts w:cs="Calibri"/>
                <w:sz w:val="32"/>
                <w:szCs w:val="28"/>
                <w:lang w:val="fr-FR"/>
              </w:rPr>
              <w:t>3</w:t>
            </w:r>
            <w:r w:rsidRPr="00C61A7C">
              <w:rPr>
                <w:rFonts w:cs="Calibri"/>
                <w:sz w:val="32"/>
                <w:szCs w:val="28"/>
                <w:lang w:val="fr-FR"/>
              </w:rPr>
              <w:t xml:space="preserve"> </w:t>
            </w:r>
            <w:r w:rsidR="00396D59" w:rsidRPr="00C61A7C">
              <w:rPr>
                <w:rFonts w:cs="Calibri"/>
                <w:sz w:val="32"/>
                <w:szCs w:val="28"/>
                <w:lang w:val="fr-FR"/>
              </w:rPr>
              <w:t>heures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FF9FE" w14:textId="77777777" w:rsidR="00E35B6F" w:rsidRPr="00C61A7C" w:rsidRDefault="00E35B6F" w:rsidP="00247AFF">
            <w:pPr>
              <w:spacing w:after="0" w:line="240" w:lineRule="auto"/>
              <w:rPr>
                <w:rFonts w:cs="Calibri"/>
                <w:b/>
                <w:bCs/>
                <w:sz w:val="32"/>
                <w:szCs w:val="28"/>
                <w:lang w:val="fr-FR"/>
              </w:rPr>
            </w:pPr>
          </w:p>
        </w:tc>
      </w:tr>
    </w:tbl>
    <w:p w14:paraId="2F949349" w14:textId="77777777" w:rsidR="00247AFF" w:rsidRPr="00C61A7C" w:rsidRDefault="00247AFF" w:rsidP="00875E28">
      <w:pPr>
        <w:spacing w:after="120" w:line="240" w:lineRule="auto"/>
        <w:rPr>
          <w:rFonts w:cs="Calibri"/>
          <w:szCs w:val="24"/>
          <w:lang w:val="fr-FR"/>
        </w:rPr>
      </w:pPr>
    </w:p>
    <w:p w14:paraId="71E332C8" w14:textId="77777777" w:rsidR="00875E28" w:rsidRPr="00C61A7C" w:rsidRDefault="00396D59" w:rsidP="00396D59">
      <w:pPr>
        <w:spacing w:after="120" w:line="240" w:lineRule="auto"/>
        <w:rPr>
          <w:rFonts w:cs="Calibri"/>
          <w:szCs w:val="24"/>
          <w:lang w:val="fr-FR"/>
        </w:rPr>
      </w:pPr>
      <w:r w:rsidRPr="00C61A7C">
        <w:rPr>
          <w:rFonts w:cs="Calibri"/>
          <w:szCs w:val="24"/>
          <w:lang w:val="fr-FR"/>
        </w:rPr>
        <w:t xml:space="preserve">Note : La durée proposée pour chaque exercice peut </w:t>
      </w:r>
      <w:r w:rsidR="00C33322">
        <w:rPr>
          <w:rFonts w:cs="Calibri"/>
          <w:szCs w:val="24"/>
          <w:lang w:val="fr-FR"/>
        </w:rPr>
        <w:t>variée</w:t>
      </w:r>
      <w:r w:rsidRPr="00C61A7C">
        <w:rPr>
          <w:rFonts w:cs="Calibri"/>
          <w:szCs w:val="24"/>
          <w:lang w:val="fr-FR"/>
        </w:rPr>
        <w:t>. Certains exercices peuvent prendre plus de temps si les communautés ont besoin de plus de temps pour comprendre et discuter.</w:t>
      </w:r>
      <w:r w:rsidR="0015461C">
        <w:rPr>
          <w:rFonts w:cs="Calibri"/>
          <w:szCs w:val="24"/>
          <w:lang w:val="fr-FR"/>
        </w:rPr>
        <w:t xml:space="preserve"> Il faut encore ajouter le temps pour la préparation des exercices, le temps de voyage et la préparation du lieu de réunions et le temps pour la documentation. </w:t>
      </w:r>
    </w:p>
    <w:sectPr w:rsidR="00875E28" w:rsidRPr="00C61A7C" w:rsidSect="00E35B6F">
      <w:head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729A" w14:textId="77777777" w:rsidR="00CD1D16" w:rsidRDefault="00CD1D16" w:rsidP="004E70A3">
      <w:pPr>
        <w:spacing w:after="0" w:line="240" w:lineRule="auto"/>
      </w:pPr>
      <w:r>
        <w:separator/>
      </w:r>
    </w:p>
  </w:endnote>
  <w:endnote w:type="continuationSeparator" w:id="0">
    <w:p w14:paraId="77854633" w14:textId="77777777" w:rsidR="00CD1D16" w:rsidRDefault="00CD1D16" w:rsidP="004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D50C" w14:textId="77777777" w:rsidR="00CD1D16" w:rsidRDefault="00CD1D16" w:rsidP="004E70A3">
      <w:pPr>
        <w:spacing w:after="0" w:line="240" w:lineRule="auto"/>
      </w:pPr>
      <w:r>
        <w:separator/>
      </w:r>
    </w:p>
  </w:footnote>
  <w:footnote w:type="continuationSeparator" w:id="0">
    <w:p w14:paraId="1D926BD3" w14:textId="77777777" w:rsidR="00CD1D16" w:rsidRDefault="00CD1D16" w:rsidP="004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DF2" w14:textId="77777777" w:rsidR="004E70A3" w:rsidRPr="004E70A3" w:rsidRDefault="004E70A3" w:rsidP="004E7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6EF"/>
    <w:multiLevelType w:val="hybridMultilevel"/>
    <w:tmpl w:val="2F506C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14F"/>
    <w:multiLevelType w:val="hybridMultilevel"/>
    <w:tmpl w:val="6DAAB3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07B"/>
    <w:multiLevelType w:val="hybridMultilevel"/>
    <w:tmpl w:val="D76CE5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1351"/>
    <w:multiLevelType w:val="multilevel"/>
    <w:tmpl w:val="9A6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00D28"/>
    <w:multiLevelType w:val="hybridMultilevel"/>
    <w:tmpl w:val="578C23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D2"/>
    <w:multiLevelType w:val="multilevel"/>
    <w:tmpl w:val="04E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4357363">
    <w:abstractNumId w:val="5"/>
  </w:num>
  <w:num w:numId="2" w16cid:durableId="1447506554">
    <w:abstractNumId w:val="3"/>
  </w:num>
  <w:num w:numId="3" w16cid:durableId="993799818">
    <w:abstractNumId w:val="2"/>
  </w:num>
  <w:num w:numId="4" w16cid:durableId="283006071">
    <w:abstractNumId w:val="0"/>
  </w:num>
  <w:num w:numId="5" w16cid:durableId="850990510">
    <w:abstractNumId w:val="4"/>
  </w:num>
  <w:num w:numId="6" w16cid:durableId="16669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A32"/>
    <w:rsid w:val="00013043"/>
    <w:rsid w:val="00024B55"/>
    <w:rsid w:val="000D4976"/>
    <w:rsid w:val="000F1FDC"/>
    <w:rsid w:val="0015461C"/>
    <w:rsid w:val="001A4FC3"/>
    <w:rsid w:val="00247AFF"/>
    <w:rsid w:val="00251361"/>
    <w:rsid w:val="00252E9A"/>
    <w:rsid w:val="002B53A6"/>
    <w:rsid w:val="002D4B0E"/>
    <w:rsid w:val="002F58CD"/>
    <w:rsid w:val="00364281"/>
    <w:rsid w:val="00396D59"/>
    <w:rsid w:val="003C123E"/>
    <w:rsid w:val="003C5A32"/>
    <w:rsid w:val="003E15C9"/>
    <w:rsid w:val="00401C1D"/>
    <w:rsid w:val="00417C64"/>
    <w:rsid w:val="00462F39"/>
    <w:rsid w:val="00473069"/>
    <w:rsid w:val="004D0233"/>
    <w:rsid w:val="004E70A3"/>
    <w:rsid w:val="006736CC"/>
    <w:rsid w:val="006A5E1E"/>
    <w:rsid w:val="006B5E40"/>
    <w:rsid w:val="006C6955"/>
    <w:rsid w:val="00702239"/>
    <w:rsid w:val="00706240"/>
    <w:rsid w:val="00716FBA"/>
    <w:rsid w:val="00743454"/>
    <w:rsid w:val="00761FDA"/>
    <w:rsid w:val="007F2DE5"/>
    <w:rsid w:val="00831676"/>
    <w:rsid w:val="00872B87"/>
    <w:rsid w:val="00875E28"/>
    <w:rsid w:val="0089348F"/>
    <w:rsid w:val="008E00F6"/>
    <w:rsid w:val="008E2AD2"/>
    <w:rsid w:val="00911075"/>
    <w:rsid w:val="00926F54"/>
    <w:rsid w:val="009A7267"/>
    <w:rsid w:val="009E0472"/>
    <w:rsid w:val="00A73916"/>
    <w:rsid w:val="00AB4C69"/>
    <w:rsid w:val="00AB5804"/>
    <w:rsid w:val="00AE5398"/>
    <w:rsid w:val="00B73709"/>
    <w:rsid w:val="00B777AE"/>
    <w:rsid w:val="00C31331"/>
    <w:rsid w:val="00C33322"/>
    <w:rsid w:val="00C61A7C"/>
    <w:rsid w:val="00CD1D16"/>
    <w:rsid w:val="00D23602"/>
    <w:rsid w:val="00D30382"/>
    <w:rsid w:val="00D541E1"/>
    <w:rsid w:val="00DA114E"/>
    <w:rsid w:val="00DF5878"/>
    <w:rsid w:val="00E07D94"/>
    <w:rsid w:val="00E35B6F"/>
    <w:rsid w:val="00ED5F9B"/>
    <w:rsid w:val="00F9122C"/>
    <w:rsid w:val="00FD3C25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C086"/>
  <w15:chartTrackingRefBased/>
  <w15:docId w15:val="{A3A306F9-F65F-46A1-B1B2-DB5D60E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281"/>
    <w:pPr>
      <w:spacing w:after="200" w:line="276" w:lineRule="auto"/>
    </w:pPr>
    <w:rPr>
      <w:sz w:val="22"/>
      <w:szCs w:val="22"/>
      <w:lang w:val="en-MY" w:eastAsia="en-MY" w:bidi="my-M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3941813178687772356msolistparagraph">
    <w:name w:val="gmail-m_3941813178687772356msolistparagraph"/>
    <w:basedOn w:val="Standard"/>
    <w:rsid w:val="003C5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70A3"/>
    <w:rPr>
      <w:sz w:val="22"/>
      <w:szCs w:val="22"/>
      <w:lang w:val="en-MY" w:eastAsia="en-MY" w:bidi="my-MM"/>
    </w:rPr>
  </w:style>
  <w:style w:type="paragraph" w:styleId="Fuzeile">
    <w:name w:val="footer"/>
    <w:basedOn w:val="Standard"/>
    <w:link w:val="Fu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70A3"/>
    <w:rPr>
      <w:sz w:val="22"/>
      <w:szCs w:val="22"/>
      <w:lang w:val="en-MY" w:eastAsia="en-MY" w:bidi="my-MM"/>
    </w:rPr>
  </w:style>
  <w:style w:type="paragraph" w:styleId="berarbeitung">
    <w:name w:val="Revision"/>
    <w:hidden/>
    <w:uiPriority w:val="99"/>
    <w:semiHidden/>
    <w:rsid w:val="003E15C9"/>
    <w:rPr>
      <w:sz w:val="22"/>
      <w:szCs w:val="22"/>
      <w:lang w:val="en-MY" w:eastAsia="en-MY" w:bidi="my-MM"/>
    </w:rPr>
  </w:style>
  <w:style w:type="character" w:styleId="Kommentarzeichen">
    <w:name w:val="annotation reference"/>
    <w:uiPriority w:val="99"/>
    <w:semiHidden/>
    <w:unhideWhenUsed/>
    <w:rsid w:val="007F2D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2DE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7F2DE5"/>
    <w:rPr>
      <w:lang w:val="en-MY" w:eastAsia="en-MY" w:bidi="my-MM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DE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2DE5"/>
    <w:rPr>
      <w:b/>
      <w:bCs/>
      <w:lang w:val="en-MY" w:eastAsia="en-MY" w:bidi="my-MM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47AFF"/>
    <w:rPr>
      <w:rFonts w:ascii="Segoe UI" w:hAnsi="Segoe UI" w:cs="Segoe UI"/>
      <w:sz w:val="18"/>
      <w:szCs w:val="18"/>
      <w:lang w:val="en-MY" w:eastAsia="en-MY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Christine Lottje</cp:lastModifiedBy>
  <cp:revision>2</cp:revision>
  <dcterms:created xsi:type="dcterms:W3CDTF">2023-02-22T15:17:00Z</dcterms:created>
  <dcterms:modified xsi:type="dcterms:W3CDTF">2023-02-22T15:17:00Z</dcterms:modified>
</cp:coreProperties>
</file>